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【一般社団法人　日本女性薬剤師会　薬剤師継続学習通信教育講座】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rtl w:val="off"/>
        </w:rPr>
        <w:t>2022</w:t>
      </w:r>
      <w:r>
        <w:rPr>
          <w:rFonts w:hint="eastAsia"/>
          <w:b/>
          <w:sz w:val="28"/>
          <w:szCs w:val="28"/>
        </w:rPr>
        <w:t>年度　自己研修申請</w:t>
      </w:r>
      <w:r>
        <w:rPr>
          <w:rFonts w:hint="eastAsia"/>
          <w:b/>
          <w:sz w:val="28"/>
          <w:szCs w:val="28"/>
          <w:rtl w:val="off"/>
        </w:rPr>
        <w:t>書（</w:t>
      </w:r>
      <w:r>
        <w:rPr>
          <w:rFonts w:hint="eastAsia"/>
          <w:b/>
          <w:sz w:val="28"/>
          <w:szCs w:val="28"/>
          <w:rtl w:val="off"/>
        </w:rPr>
        <w:t>研修成果</w:t>
      </w:r>
      <w:r>
        <w:rPr>
          <w:rFonts w:hint="eastAsia"/>
          <w:b/>
          <w:sz w:val="28"/>
          <w:szCs w:val="28"/>
        </w:rPr>
        <w:t>報告書</w:t>
      </w:r>
      <w:r>
        <w:rPr>
          <w:rFonts w:hint="eastAsia"/>
          <w:b/>
          <w:sz w:val="28"/>
          <w:szCs w:val="28"/>
          <w:rtl w:val="off"/>
        </w:rPr>
        <w:t>）</w:t>
      </w:r>
    </w:p>
    <w:p>
      <w:pPr>
        <w:tabs>
          <w:tab w:val="left" w:pos="331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hint="eastAsia"/>
          <w:sz w:val="24"/>
          <w:szCs w:val="24"/>
        </w:rPr>
        <w:t>一般社団法人　日本女性薬剤師会　研修センタ－長　殿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505"/>
        <w:gridCol w:w="4536"/>
        <w:gridCol w:w="1836"/>
      </w:tblGrid>
      <w:tr>
        <w:tc>
          <w:tcPr>
            <w:tcW w:w="1998" w:type="dxa"/>
          </w:tcPr>
          <w:p>
            <w:pPr>
              <w:jc w:val="center"/>
            </w:pPr>
            <w:r>
              <w:rPr>
                <w:rFonts w:hint="eastAsia"/>
              </w:rPr>
              <w:t>受講</w:t>
            </w:r>
            <w:r>
              <w:rPr>
                <w:rFonts w:hint="eastAsia"/>
                <w:rtl w:val="off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2505" w:type="dxa"/>
          </w:tcPr>
          <w:p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836" w:type="dxa"/>
          </w:tcPr>
          <w:p>
            <w:pPr>
              <w:jc w:val="center"/>
            </w:pPr>
            <w:r>
              <w:rPr>
                <w:rFonts w:hint="eastAsia"/>
              </w:rPr>
              <w:t>登録都道府県名</w:t>
            </w:r>
          </w:p>
        </w:tc>
      </w:tr>
      <w:tr>
        <w:trPr>
          <w:trHeight w:val="694" w:hRule="atLeast"/>
        </w:trPr>
        <w:tc>
          <w:tcPr>
            <w:tcW w:w="1998" w:type="dxa"/>
          </w:tcPr>
          <w:p/>
        </w:tc>
        <w:tc>
          <w:tcPr>
            <w:tcW w:w="2505" w:type="dxa"/>
          </w:tcPr>
          <w:p/>
        </w:tc>
        <w:tc>
          <w:tcPr>
            <w:tcW w:w="4536" w:type="dxa"/>
          </w:tcPr>
          <w:p>
            <w:r>
              <w:rPr>
                <w:rFonts w:hint="eastAsia"/>
              </w:rPr>
              <w:t>〒　　　－</w:t>
            </w:r>
          </w:p>
        </w:tc>
        <w:tc>
          <w:tcPr>
            <w:tcW w:w="1836" w:type="dxa"/>
          </w:tcPr>
          <w:p/>
        </w:tc>
      </w:tr>
      <w:tr>
        <w:trPr>
          <w:gridAfter w:val="2"/>
          <w:wAfter w:w="6237" w:type="dxa"/>
        </w:trPr>
        <w:tc>
          <w:tcPr>
            <w:tcW w:w="450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学習時間数</w:t>
            </w:r>
          </w:p>
        </w:tc>
      </w:tr>
      <w:tr>
        <w:trPr>
          <w:gridAfter w:val="2"/>
          <w:wAfter w:w="6237" w:type="dxa"/>
        </w:trPr>
        <w:tc>
          <w:tcPr>
            <w:tcW w:w="4503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（　　　　　　）時間</w:t>
            </w:r>
          </w:p>
          <w:p>
            <w:pPr>
              <w:jc w:val="center"/>
            </w:pPr>
            <w:r>
              <w:rPr>
                <w:rFonts w:hint="eastAsia"/>
              </w:rPr>
              <w:t>目安：</w:t>
            </w:r>
            <w:r>
              <w:t>1</w:t>
            </w:r>
            <w:r>
              <w:rPr>
                <w:rFonts w:hint="eastAsia"/>
              </w:rPr>
              <w:t>単元　</w:t>
            </w:r>
            <w:r>
              <w:t>240</w:t>
            </w:r>
            <w:r>
              <w:rPr>
                <w:rFonts w:hint="eastAsia"/>
              </w:rPr>
              <w:t>分</w:t>
            </w:r>
          </w:p>
        </w:tc>
      </w:tr>
    </w:tbl>
    <w:p/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6"/>
        <w:gridCol w:w="2646"/>
        <w:gridCol w:w="2551"/>
        <w:gridCol w:w="2552"/>
        <w:gridCol w:w="1314"/>
      </w:tblGrid>
      <w:tr>
        <w:tc>
          <w:tcPr>
            <w:tcW w:w="1856" w:type="dxa"/>
          </w:tcPr>
          <w:p>
            <w:pPr>
              <w:jc w:val="center"/>
            </w:pPr>
            <w:r>
              <w:rPr>
                <w:rFonts w:hint="eastAsia"/>
              </w:rPr>
              <w:t>学習した項目</w:t>
            </w:r>
          </w:p>
        </w:tc>
        <w:tc>
          <w:tcPr>
            <w:tcW w:w="2646" w:type="dxa"/>
          </w:tcPr>
          <w:p>
            <w:pPr>
              <w:jc w:val="center"/>
            </w:pPr>
            <w:r>
              <w:rPr>
                <w:rFonts w:hint="eastAsia"/>
              </w:rPr>
              <w:t>理解できたこと</w:t>
            </w:r>
          </w:p>
        </w:tc>
        <w:tc>
          <w:tcPr>
            <w:tcW w:w="2551" w:type="dxa"/>
          </w:tcPr>
          <w:p>
            <w:pPr>
              <w:jc w:val="center"/>
            </w:pPr>
            <w:r>
              <w:rPr>
                <w:rFonts w:hint="eastAsia"/>
              </w:rPr>
              <w:t>得られた新しい知識</w:t>
            </w:r>
          </w:p>
        </w:tc>
        <w:tc>
          <w:tcPr>
            <w:tcW w:w="2552" w:type="dxa"/>
          </w:tcPr>
          <w:p>
            <w:pPr>
              <w:jc w:val="center"/>
            </w:pPr>
            <w:r>
              <w:rPr>
                <w:rFonts w:hint="eastAsia"/>
              </w:rPr>
              <w:t>日常業務に役立つこと</w:t>
            </w:r>
          </w:p>
        </w:tc>
        <w:tc>
          <w:tcPr>
            <w:tcW w:w="1314" w:type="dxa"/>
          </w:tcPr>
          <w:p>
            <w:pPr>
              <w:jc w:val="center"/>
            </w:pPr>
            <w:r>
              <w:rPr>
                <w:rFonts w:hint="eastAsia"/>
              </w:rPr>
              <w:t>自己評価</w:t>
            </w:r>
          </w:p>
        </w:tc>
      </w:tr>
      <w:tr>
        <w:tc>
          <w:tcPr>
            <w:tcW w:w="185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  <w:rtl w:val="off"/>
              </w:rPr>
              <w:t>第1回</w:t>
            </w:r>
            <w:r>
              <w:rPr>
                <w:rFonts w:ascii="ＭＳ 明朝" w:hAnsi="ＭＳ 明朝" w:hint="eastAsia"/>
                <w:sz w:val="20"/>
                <w:szCs w:val="20"/>
                <w:rtl w:val="off"/>
              </w:rPr>
              <w:t>急性・慢性心不全</w:t>
            </w:r>
            <w:r>
              <w:rPr>
                <w:rFonts w:ascii="ＭＳ 明朝" w:hAnsi="ＭＳ 明朝" w:hint="eastAsia"/>
                <w:szCs w:val="21"/>
                <w:rtl w:val="off"/>
              </w:rPr>
              <w:t>（診療ガイドライン2021年改定）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pPr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sz w:val="20"/>
                <w:szCs w:val="20"/>
                <w:rtl w:val="off"/>
              </w:rPr>
              <w:t>第2回</w:t>
            </w:r>
            <w:r>
              <w:rPr>
                <w:rFonts w:ascii="ＭＳ 明朝" w:hAnsi="ＭＳ 明朝" w:hint="eastAsia"/>
                <w:sz w:val="20"/>
                <w:szCs w:val="20"/>
                <w:rtl w:val="off"/>
              </w:rPr>
              <w:t>医療的ケア児の支援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rtl w:val="off"/>
              </w:rPr>
              <w:t>第3回</w:t>
            </w:r>
            <w:r>
              <w:rPr>
                <w:rFonts w:ascii="ＭＳ 明朝" w:hAnsi="ＭＳ 明朝" w:hint="eastAsia"/>
                <w:szCs w:val="21"/>
                <w:rtl w:val="off"/>
              </w:rPr>
              <w:t>HPV（ヒトパピローマウイルス）感染症と子宮頸がん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rtl w:val="off"/>
              </w:rPr>
              <w:t>第4回</w:t>
            </w:r>
            <w:r>
              <w:rPr>
                <w:rFonts w:ascii="ＭＳ 明朝" w:hAnsi="ＭＳ 明朝" w:hint="eastAsia"/>
                <w:szCs w:val="21"/>
                <w:rtl w:val="off"/>
              </w:rPr>
              <w:t>女性の</w:t>
            </w:r>
            <w:r>
              <w:rPr>
                <w:rFonts w:ascii="ＭＳ 明朝" w:hAnsi="ＭＳ 明朝" w:hint="eastAsia"/>
                <w:sz w:val="18"/>
                <w:szCs w:val="18"/>
                <w:rtl w:val="off"/>
              </w:rPr>
              <w:t>ライフステージに寄り添った妊娠前と周産期の服薬コミュニケーションのポイント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rtl w:val="off"/>
              </w:rPr>
              <w:t>第5回</w:t>
            </w:r>
            <w:r>
              <w:rPr>
                <w:rFonts w:ascii="ＭＳ 明朝" w:hAnsi="ＭＳ 明朝" w:hint="eastAsia"/>
                <w:sz w:val="18"/>
                <w:szCs w:val="18"/>
                <w:rtl w:val="off"/>
              </w:rPr>
              <w:t>高齢になっても心地よい生活を送るために薬剤師にできること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rtl w:val="off"/>
              </w:rPr>
              <w:t>第6回</w:t>
            </w:r>
            <w:r>
              <w:rPr>
                <w:rFonts w:ascii="ＭＳ 明朝" w:hAnsi="ＭＳ 明朝" w:hint="eastAsia"/>
                <w:szCs w:val="21"/>
                <w:rtl w:val="off"/>
              </w:rPr>
              <w:t>頭痛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rtl w:val="off"/>
              </w:rPr>
              <w:t>第7回</w:t>
            </w:r>
            <w:r>
              <w:rPr>
                <w:rFonts w:ascii="ＭＳ 明朝" w:hAnsi="ＭＳ 明朝" w:hint="eastAsia"/>
                <w:szCs w:val="21"/>
                <w:rtl w:val="off"/>
              </w:rPr>
              <w:t>疥癬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>
        <w:tc>
          <w:tcPr>
            <w:tcW w:w="1856" w:type="dxa"/>
            <w:vAlign w:val="center"/>
          </w:tcPr>
          <w:p>
            <w:r>
              <w:rPr>
                <w:rtl w:val="off"/>
              </w:rPr>
              <w:t>第8回</w:t>
            </w:r>
            <w:r>
              <w:rPr>
                <w:rFonts w:ascii="ＭＳ 明朝" w:hAnsi="ＭＳ 明朝" w:hint="eastAsia"/>
                <w:szCs w:val="21"/>
                <w:rtl w:val="off"/>
              </w:rPr>
              <w:t>新型コロナウイルスのその後を追う</w:t>
            </w:r>
          </w:p>
        </w:tc>
        <w:tc>
          <w:tcPr>
            <w:tcW w:w="2646" w:type="dxa"/>
          </w:tcPr>
          <w:p/>
          <w:p/>
        </w:tc>
        <w:tc>
          <w:tcPr>
            <w:tcW w:w="2551" w:type="dxa"/>
          </w:tcPr>
          <w:p/>
        </w:tc>
        <w:tc>
          <w:tcPr>
            <w:tcW w:w="2552" w:type="dxa"/>
          </w:tcPr>
          <w:p/>
        </w:tc>
        <w:tc>
          <w:tcPr>
            <w:tcW w:w="1314" w:type="dxa"/>
            <w:vAlign w:val="center"/>
          </w:tcPr>
          <w:p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</w:tbl>
    <w:p>
      <w:pPr>
        <w:rPr>
          <w:rFonts w:ascii="ＭＳ ゴシック" w:eastAsia="ＭＳ ゴシック" w:hAnsi="ＭＳ ゴシック" w:hint="eastAsia"/>
          <w:b/>
          <w:sz w:val="28"/>
          <w:szCs w:val="28"/>
          <w:rtl w:val="off"/>
        </w:rPr>
      </w:pPr>
    </w:p>
    <w:p>
      <w:pPr>
        <w:rPr>
          <w:rFonts w:ascii="ＭＳ ゴシック" w:eastAsia="ＭＳ ゴシック" w:hAnsi="ＭＳ ゴシック" w:hint="eastAsia"/>
          <w:b/>
          <w:sz w:val="28"/>
          <w:szCs w:val="28"/>
          <w:rtl w:val="off"/>
        </w:rPr>
      </w:pPr>
    </w:p>
    <w:p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【研修成果】</w:t>
      </w:r>
      <w:r>
        <w:rPr>
          <w:rFonts w:ascii="ＭＳ 明朝" w:eastAsia="ＭＳ 明朝" w:hAnsi="ＭＳ 明朝" w:hint="eastAsia"/>
          <w:sz w:val="24"/>
          <w:szCs w:val="24"/>
        </w:rPr>
        <w:t>(200文字程度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tbl>
      <w:tblPr>
        <w:tblW w:w="1092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ellMar>
          <w:top w:w="0" w:type="dxa"/>
          <w:left w:w="99" w:type="dxa"/>
          <w:bottom w:w="0" w:type="dxa"/>
          <w:right w:w="99" w:type="dxa"/>
        </w:tblCellMar>
      </w:tblPr>
      <w:tblGrid>
        <w:gridCol w:w="10922"/>
      </w:tblGrid>
      <w:tr>
        <w:trPr>
          <w:trHeight w:val="5094" w:hRule="atLeast"/>
        </w:trPr>
        <w:tc>
          <w:tcPr>
            <w:tcW w:w="10922" w:type="dxa"/>
          </w:tcPr>
          <w:p>
            <w:pPr>
              <w:ind w:left="105"/>
            </w:pPr>
            <w:r>
              <w:rPr>
                <w:rFonts w:hint="eastAsia"/>
              </w:rPr>
              <w:t>別紙に添付でも可</w:t>
            </w: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  <w:p>
            <w:pPr>
              <w:ind w:left="105"/>
            </w:pPr>
          </w:p>
        </w:tc>
      </w:tr>
    </w:tbl>
    <w:p>
      <w:r>
        <w:rPr>
          <w:rFonts w:hint="eastAsia"/>
        </w:rPr>
        <w:t>自己研修の成果を日常業務に役立てられるように、通信教育の内容を充実させます。来期も継続されることを望みます。</w:t>
      </w:r>
    </w:p>
    <w:sectPr>
      <w:pgSz w:w="11906" w:h="16838" w:code="9"/>
      <w:pgMar w:top="567" w:right="567" w:bottom="567" w:left="567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ＭＳ 明朝">
    <w:panose1 w:val="02020609040205080304"/>
    <w:family w:val="roman"/>
    <w:charset w:val="80"/>
    <w:notTrueType w:val="false"/>
    <w:sig w:usb0="E00002FF" w:usb1="6AC7FDFB" w:usb2="08000012" w:usb3="00000001" w:csb0="4002009F" w:csb1="DFD70000"/>
  </w:font>
  <w:font w:name="ＭＳ ゴシック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Century">
    <w:panose1 w:val="02040604050505020304"/>
    <w:family w:val="roman"/>
    <w:charset w:val="00"/>
    <w:notTrueType w:val="false"/>
    <w:sig w:usb0="00000287" w:usb1="00000001" w:usb2="00000001" w:usb3="00000001" w:csb0="2000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2"/>
  <w:removePersonalInformation/>
  <w:bordersDontSurroundHeader/>
  <w:bordersDontSurroundFooter/>
  <w:hideGrammaticalErrors/>
  <w:proofState w:spelling="clean" w:grammar="clean"/>
  <w:defaultTabStop w:val="840"/>
  <w:drawingGridHorizontalSpacing w:val="105"/>
  <w:drawingGridVerticalSpacing w:val="100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ja-JP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ja-JP" w:bidi="ar-SA"/>
        <w:rFonts w:ascii="Century" w:eastAsia="ＭＳ 明朝" w:hAnsi="Century" w:cs="Times New Roman"/>
      </w:rPr>
    </w:rPrDefault>
    <w:pPrDefault>
      <w:pPr/>
    </w:pPrDefault>
  </w:docDefaults>
  <w:style w:type="paragraph" w:default="1" w:styleId="a1">
    <w:name w:val="Normal"/>
    <w:qFormat/>
    <w:pPr>
      <w:widowControl w:val="off"/>
      <w:jc w:val="both"/>
    </w:pPr>
    <w:rPr>
      <w:sz w:val="21"/>
      <w:szCs w:val="22"/>
      <w:kern w:val="2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【一般社団法人　日本女性薬剤師会　薬剤師継続学習通信教育講座】</dc:title>
  <dc:subject/>
  <dc:creator>jwpa</dc:creator>
  <cp:keywords/>
  <dc:description/>
  <cp:lastModifiedBy>kunik</cp:lastModifiedBy>
  <cp:revision>1</cp:revision>
  <dcterms:created xsi:type="dcterms:W3CDTF">2019-01-18T03:06:00Z</dcterms:created>
  <dcterms:modified xsi:type="dcterms:W3CDTF">2023-02-19T06:15:33Z</dcterms:modified>
  <cp:lastPrinted>2017-04-03T05:44:00Z</cp:lastPrinted>
  <cp:version>0900.0100.01</cp:version>
</cp:coreProperties>
</file>